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t>浙江永立钢业钢业有限公司</w:t>
      </w:r>
    </w:p>
    <w:p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2023年危废产生量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jZTI3ODUyNWQxMDE1MTdlMjk0MzVmZWRkNmQ0YTIifQ=="/>
  </w:docVars>
  <w:rsids>
    <w:rsidRoot w:val="00000000"/>
    <w:rsid w:val="6FEA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2024-06-21T09:30:22Z</dcterms:created>
  <dc:creator>Administrator</dc:creator>
  <cp:lastModifiedBy>A张江淼</cp:lastModifiedBy>
  <dcterms:modified xsi:type="dcterms:W3CDTF">2024-06-21T09:30:56Z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8FC08C3BF24E4301AC4328B209AEE238_12</vt:lpwstr>
  </property>
</Properties>
</file>